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January 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800" w:right="780"/>
        </w:sectPr>
      </w:pP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Jan 01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99"/>
      </w:pPr>
      <w:r>
        <w:rPr/>
        <w:t>New Year's Day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Heading1"/>
      </w:pPr>
      <w:r>
        <w:rPr/>
        <w:t>Jan 15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98"/>
      </w:pPr>
      <w:r>
        <w:rPr/>
        <w:t>Martin Luther King</w:t>
      </w:r>
      <w:r>
        <w:rPr>
          <w:spacing w:val="-24"/>
        </w:rPr>
        <w:t> </w:t>
      </w:r>
      <w:r>
        <w:rPr>
          <w:spacing w:val="-5"/>
        </w:rPr>
        <w:t>Day</w:t>
      </w:r>
    </w:p>
    <w:p>
      <w:pPr>
        <w:spacing w:before="34"/>
        <w:ind w:left="675" w:right="0" w:firstLine="0"/>
        <w:jc w:val="left"/>
        <w:rPr>
          <w:sz w:val="17"/>
        </w:rPr>
      </w:pPr>
      <w:r>
        <w:rPr/>
        <w:br w:type="column"/>
      </w:r>
      <w:hyperlink r:id="rId5">
        <w:r>
          <w:rPr>
            <w:w w:val="105"/>
            <w:sz w:val="17"/>
          </w:rPr>
          <w:t>w</w:t>
        </w:r>
      </w:hyperlink>
      <w:r>
        <w:rPr>
          <w:w w:val="105"/>
          <w:sz w:val="17"/>
        </w:rPr>
        <w:t>w</w:t>
      </w:r>
      <w:hyperlink r:id="rId5">
        <w:r>
          <w:rPr>
            <w:w w:val="105"/>
            <w:sz w:val="17"/>
          </w:rPr>
          <w:t>w</w:t>
        </w:r>
      </w:hyperlink>
      <w:r>
        <w:rPr>
          <w:w w:val="105"/>
          <w:sz w:val="17"/>
        </w:rPr>
        <w:t>.fr</w:t>
      </w:r>
      <w:hyperlink r:id="rId5">
        <w:r>
          <w:rPr>
            <w:w w:val="105"/>
            <w:sz w:val="17"/>
          </w:rPr>
          <w:t>ee</w:t>
        </w:r>
      </w:hyperlink>
      <w:r>
        <w:rPr>
          <w:w w:val="105"/>
          <w:sz w:val="17"/>
        </w:rPr>
        <w:t>-</w:t>
      </w:r>
      <w:hyperlink r:id="rId5">
        <w:r>
          <w:rPr>
            <w:w w:val="105"/>
            <w:sz w:val="17"/>
          </w:rPr>
          <w:t>cal</w:t>
        </w:r>
      </w:hyperlink>
      <w:hyperlink r:id="rId5">
        <w:r>
          <w:rPr>
            <w:w w:val="105"/>
            <w:sz w:val="17"/>
          </w:rPr>
          <w:t>en</w:t>
        </w:r>
      </w:hyperlink>
      <w:hyperlink r:id="rId5">
        <w:r>
          <w:rPr>
            <w:w w:val="105"/>
            <w:sz w:val="17"/>
          </w:rPr>
          <w:t>da</w:t>
        </w:r>
      </w:hyperlink>
      <w:r>
        <w:rPr>
          <w:w w:val="105"/>
          <w:sz w:val="17"/>
        </w:rPr>
        <w:t>r-t</w:t>
      </w:r>
      <w:hyperlink r:id="rId5">
        <w:r>
          <w:rPr>
            <w:w w:val="105"/>
            <w:sz w:val="17"/>
          </w:rPr>
          <w:t>em</w:t>
        </w:r>
      </w:hyperlink>
      <w:hyperlink r:id="rId5">
        <w:r>
          <w:rPr>
            <w:w w:val="105"/>
            <w:sz w:val="17"/>
          </w:rPr>
          <w:t>pl</w:t>
        </w:r>
      </w:hyperlink>
      <w:hyperlink r:id="rId5">
        <w:r>
          <w:rPr>
            <w:w w:val="105"/>
            <w:sz w:val="17"/>
          </w:rPr>
          <w:t>at</w:t>
        </w:r>
      </w:hyperlink>
      <w:r>
        <w:rPr>
          <w:w w:val="105"/>
          <w:sz w:val="17"/>
        </w:rPr>
        <w:t>e.</w:t>
      </w:r>
      <w:hyperlink r:id="rId5">
        <w:r>
          <w:rPr>
            <w:w w:val="105"/>
            <w:sz w:val="17"/>
          </w:rPr>
          <w:t>com</w:t>
        </w:r>
      </w:hyperlink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840" w:bottom="280" w:left="800" w:right="780"/>
          <w:cols w:num="5" w:equalWidth="0">
            <w:col w:w="2526" w:space="40"/>
            <w:col w:w="1859" w:space="1257"/>
            <w:col w:w="2526" w:space="40"/>
            <w:col w:w="2530" w:space="39"/>
            <w:col w:w="344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top="84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278" w:right="5265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2021-12-30T13:40:34Z</dcterms:created>
  <dcterms:modified xsi:type="dcterms:W3CDTF">2021-12-30T13:40:34Z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